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AAFE" w14:textId="501D1C31" w:rsidR="00857CEC" w:rsidRPr="00B35CEC" w:rsidRDefault="00710172" w:rsidP="00857CEC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inline distT="0" distB="0" distL="0" distR="0" wp14:anchorId="07CF6BE1" wp14:editId="76BD6774">
            <wp:extent cx="3305175" cy="686137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236" cy="69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8E0A0" w14:textId="2C257417" w:rsidR="00F4129B" w:rsidRPr="00DE6D9A" w:rsidRDefault="00F4129B" w:rsidP="00B35CE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NPHC </w:t>
      </w:r>
      <w:r w:rsidR="00B35CEC" w:rsidRPr="00DE6D9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Update:</w:t>
      </w:r>
    </w:p>
    <w:p w14:paraId="4761808F" w14:textId="77777777" w:rsidR="00F4129B" w:rsidRPr="00DE6D9A" w:rsidRDefault="00F4129B" w:rsidP="00F4129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697863C" w14:textId="696E5FFC" w:rsidR="00B35CEC" w:rsidRPr="00DE6D9A" w:rsidRDefault="00F4129B" w:rsidP="00F4129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The membership intake period for </w:t>
      </w:r>
      <w:r w:rsidR="00B060FF"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Spring 2024</w:t>
      </w:r>
      <w:r w:rsidRPr="00DE6D9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will begin no earlier than </w:t>
      </w:r>
      <w:r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Monday, </w:t>
      </w:r>
      <w:r w:rsidR="00666218"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February 5, 202</w:t>
      </w:r>
      <w:r w:rsidR="003B0EA0"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B35CEC"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and end no later than </w:t>
      </w:r>
      <w:r w:rsidR="004E4B8F"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Thu</w:t>
      </w:r>
      <w:r w:rsidR="003B0EA0"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rsday</w:t>
      </w:r>
      <w:r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3B0EA0"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March 28, 2024</w:t>
      </w:r>
      <w:r w:rsidR="00B35CEC"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DE6D9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at 5:00 p.m</w:t>
      </w:r>
      <w:r w:rsidRPr="00DE6D9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During the membership intake process, activities can begin at the following designated times: </w:t>
      </w:r>
    </w:p>
    <w:p w14:paraId="5FA93A66" w14:textId="77777777" w:rsidR="00B35CEC" w:rsidRPr="00DE6D9A" w:rsidRDefault="00B35CEC" w:rsidP="00F4129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3151"/>
      </w:tblGrid>
      <w:tr w:rsidR="00902246" w:rsidRPr="00DE6D9A" w14:paraId="0E6A9ABB" w14:textId="77777777" w:rsidTr="00902246">
        <w:trPr>
          <w:jc w:val="center"/>
        </w:trPr>
        <w:tc>
          <w:tcPr>
            <w:tcW w:w="2244" w:type="dxa"/>
          </w:tcPr>
          <w:p w14:paraId="4A81F5D3" w14:textId="77777777" w:rsidR="00902246" w:rsidRPr="00902246" w:rsidRDefault="00902246" w:rsidP="00902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022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Monday - Thursday </w:t>
            </w:r>
          </w:p>
        </w:tc>
        <w:tc>
          <w:tcPr>
            <w:tcW w:w="3151" w:type="dxa"/>
          </w:tcPr>
          <w:p w14:paraId="50FEC893" w14:textId="5F74EEEC" w:rsidR="00902246" w:rsidRPr="00DE6D9A" w:rsidRDefault="00902246" w:rsidP="00902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DE6D9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5:00 PM – 10:00 PM</w:t>
            </w:r>
          </w:p>
        </w:tc>
      </w:tr>
      <w:tr w:rsidR="00902246" w:rsidRPr="00DE6D9A" w14:paraId="652236E4" w14:textId="77777777" w:rsidTr="00902246">
        <w:trPr>
          <w:jc w:val="center"/>
        </w:trPr>
        <w:tc>
          <w:tcPr>
            <w:tcW w:w="2244" w:type="dxa"/>
          </w:tcPr>
          <w:p w14:paraId="2ABEC317" w14:textId="77777777" w:rsidR="00902246" w:rsidRPr="00902246" w:rsidRDefault="00902246" w:rsidP="00902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022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Friday </w:t>
            </w:r>
          </w:p>
        </w:tc>
        <w:tc>
          <w:tcPr>
            <w:tcW w:w="3151" w:type="dxa"/>
          </w:tcPr>
          <w:p w14:paraId="39575CC4" w14:textId="4024068A" w:rsidR="00902246" w:rsidRPr="00DE6D9A" w:rsidRDefault="00902246" w:rsidP="00902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DE6D9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5:00 PM – 12:00 AM (midnight)</w:t>
            </w:r>
          </w:p>
        </w:tc>
      </w:tr>
      <w:tr w:rsidR="00902246" w:rsidRPr="00DE6D9A" w14:paraId="2B3638FC" w14:textId="77777777" w:rsidTr="00902246">
        <w:trPr>
          <w:jc w:val="center"/>
        </w:trPr>
        <w:tc>
          <w:tcPr>
            <w:tcW w:w="2244" w:type="dxa"/>
          </w:tcPr>
          <w:p w14:paraId="6CA0C189" w14:textId="77777777" w:rsidR="00902246" w:rsidRPr="00902246" w:rsidRDefault="00902246" w:rsidP="00902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022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Saturday </w:t>
            </w:r>
          </w:p>
        </w:tc>
        <w:tc>
          <w:tcPr>
            <w:tcW w:w="3151" w:type="dxa"/>
          </w:tcPr>
          <w:p w14:paraId="65F3EF3D" w14:textId="1D08ACC9" w:rsidR="00902246" w:rsidRPr="00DE6D9A" w:rsidRDefault="00902246" w:rsidP="00902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DE6D9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8:00 AM – 12:00 AM (midnight)</w:t>
            </w:r>
          </w:p>
        </w:tc>
      </w:tr>
      <w:tr w:rsidR="00902246" w:rsidRPr="00DE6D9A" w14:paraId="70AD7830" w14:textId="77777777" w:rsidTr="00902246">
        <w:trPr>
          <w:jc w:val="center"/>
        </w:trPr>
        <w:tc>
          <w:tcPr>
            <w:tcW w:w="2244" w:type="dxa"/>
          </w:tcPr>
          <w:p w14:paraId="5A34D910" w14:textId="77777777" w:rsidR="00902246" w:rsidRPr="00902246" w:rsidRDefault="00902246" w:rsidP="00902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022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Sunday</w:t>
            </w:r>
          </w:p>
        </w:tc>
        <w:tc>
          <w:tcPr>
            <w:tcW w:w="3151" w:type="dxa"/>
          </w:tcPr>
          <w:p w14:paraId="7277F3EE" w14:textId="4CF070CE" w:rsidR="00902246" w:rsidRPr="00DE6D9A" w:rsidRDefault="00902246" w:rsidP="00902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DE6D9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8:00 AM – 10:00 PM</w:t>
            </w:r>
          </w:p>
        </w:tc>
      </w:tr>
    </w:tbl>
    <w:p w14:paraId="2F879437" w14:textId="77777777" w:rsidR="00EC010F" w:rsidRPr="00DE6D9A" w:rsidRDefault="00EC010F" w:rsidP="00EC010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8018D87" w14:textId="3B6317BE" w:rsidR="00DA3EC5" w:rsidRPr="00DE6D9A" w:rsidRDefault="00541115" w:rsidP="00C62CD6">
      <w:pPr>
        <w:pStyle w:val="Heading2"/>
        <w:shd w:val="clear" w:color="auto" w:fill="FFFFFF"/>
        <w:spacing w:before="0" w:after="168"/>
        <w:rPr>
          <w:rStyle w:val="Strong"/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33333"/>
          <w:sz w:val="22"/>
          <w:szCs w:val="22"/>
        </w:rPr>
        <w:t>IMPORTANT DATES: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1"/>
        <w:gridCol w:w="4309"/>
      </w:tblGrid>
      <w:tr w:rsidR="00DE6D9A" w:rsidRPr="00DE6D9A" w14:paraId="59EE6D60" w14:textId="77777777" w:rsidTr="00902246">
        <w:trPr>
          <w:jc w:val="center"/>
        </w:trPr>
        <w:tc>
          <w:tcPr>
            <w:tcW w:w="4321" w:type="dxa"/>
          </w:tcPr>
          <w:p w14:paraId="55BF1B99" w14:textId="6380AB91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E6D9A">
              <w:rPr>
                <w:rFonts w:cstheme="minorHAnsi"/>
                <w:b/>
                <w:bCs/>
                <w:sz w:val="22"/>
                <w:szCs w:val="22"/>
              </w:rPr>
              <w:t>January 16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2024</w:t>
            </w:r>
          </w:p>
        </w:tc>
        <w:tc>
          <w:tcPr>
            <w:tcW w:w="4309" w:type="dxa"/>
          </w:tcPr>
          <w:p w14:paraId="1F92B31F" w14:textId="3ACCB82D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E6D9A">
              <w:rPr>
                <w:rFonts w:cstheme="minorHAnsi"/>
                <w:sz w:val="22"/>
                <w:szCs w:val="22"/>
              </w:rPr>
              <w:t>Anti</w:t>
            </w:r>
            <w:r w:rsidR="00902246">
              <w:rPr>
                <w:rFonts w:cstheme="minorHAnsi"/>
                <w:sz w:val="22"/>
                <w:szCs w:val="22"/>
              </w:rPr>
              <w:t>-</w:t>
            </w:r>
            <w:r w:rsidRPr="00DE6D9A">
              <w:rPr>
                <w:rFonts w:cstheme="minorHAnsi"/>
                <w:sz w:val="22"/>
                <w:szCs w:val="22"/>
              </w:rPr>
              <w:t>Hazing Course released as a link</w:t>
            </w:r>
            <w:r>
              <w:rPr>
                <w:rFonts w:cstheme="minorHAnsi"/>
                <w:sz w:val="22"/>
                <w:szCs w:val="22"/>
              </w:rPr>
              <w:t xml:space="preserve"> in </w:t>
            </w:r>
            <w:r w:rsidR="00902246">
              <w:rPr>
                <w:rFonts w:cstheme="minorHAnsi"/>
                <w:sz w:val="22"/>
                <w:szCs w:val="22"/>
              </w:rPr>
              <w:t>campus wide flyer.</w:t>
            </w:r>
          </w:p>
        </w:tc>
      </w:tr>
      <w:tr w:rsidR="00AF4BB8" w:rsidRPr="00DE6D9A" w14:paraId="1AFCD418" w14:textId="77777777" w:rsidTr="00902246">
        <w:trPr>
          <w:jc w:val="center"/>
        </w:trPr>
        <w:tc>
          <w:tcPr>
            <w:tcW w:w="4321" w:type="dxa"/>
          </w:tcPr>
          <w:p w14:paraId="30766FD8" w14:textId="77777777" w:rsidR="00AF4BB8" w:rsidRDefault="00AF4BB8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January 22, 2024</w:t>
            </w:r>
          </w:p>
          <w:p w14:paraId="7C59434D" w14:textId="77777777" w:rsidR="00AF4BB8" w:rsidRDefault="00AF4BB8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E20006C" w14:textId="77777777" w:rsidR="00AF4BB8" w:rsidRDefault="00AF4BB8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362D3BE" w14:textId="4CBCFB5C" w:rsidR="00AF4BB8" w:rsidRPr="00AF4BB8" w:rsidRDefault="00AF4BB8" w:rsidP="00DE6D9A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F4BB8">
              <w:rPr>
                <w:rFonts w:cstheme="minorHAnsi"/>
                <w:sz w:val="20"/>
                <w:szCs w:val="20"/>
              </w:rPr>
              <w:t>*Link provided via email to advisors.</w:t>
            </w:r>
          </w:p>
        </w:tc>
        <w:tc>
          <w:tcPr>
            <w:tcW w:w="4309" w:type="dxa"/>
          </w:tcPr>
          <w:p w14:paraId="31621643" w14:textId="1938320C" w:rsidR="00AF4BB8" w:rsidRPr="00DE6D9A" w:rsidRDefault="00AF4BB8" w:rsidP="00DE6D9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Deadline for organizations to respond to Student Life &amp; Engagement to determine their interest in participating in membership intake.  </w:t>
            </w:r>
          </w:p>
        </w:tc>
      </w:tr>
      <w:tr w:rsidR="00DE6D9A" w:rsidRPr="00DE6D9A" w14:paraId="6FA8C731" w14:textId="77777777" w:rsidTr="00902246">
        <w:trPr>
          <w:jc w:val="center"/>
        </w:trPr>
        <w:tc>
          <w:tcPr>
            <w:tcW w:w="4321" w:type="dxa"/>
          </w:tcPr>
          <w:p w14:paraId="2AE6CFCC" w14:textId="5547DB25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E6D9A">
              <w:rPr>
                <w:rFonts w:cstheme="minorHAnsi"/>
                <w:b/>
                <w:bCs/>
                <w:sz w:val="22"/>
                <w:szCs w:val="22"/>
              </w:rPr>
              <w:t>January 26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2024</w:t>
            </w:r>
          </w:p>
        </w:tc>
        <w:tc>
          <w:tcPr>
            <w:tcW w:w="4309" w:type="dxa"/>
          </w:tcPr>
          <w:p w14:paraId="73BE895E" w14:textId="6D04E849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E6D9A">
              <w:rPr>
                <w:rFonts w:cstheme="minorHAnsi"/>
                <w:sz w:val="22"/>
                <w:szCs w:val="22"/>
              </w:rPr>
              <w:t>Deadline for organizations to submit all required intake documents</w:t>
            </w:r>
            <w:r>
              <w:rPr>
                <w:rFonts w:cstheme="minorHAnsi"/>
                <w:sz w:val="22"/>
                <w:szCs w:val="22"/>
              </w:rPr>
              <w:t xml:space="preserve"> to </w:t>
            </w:r>
            <w:r w:rsidR="00902246">
              <w:rPr>
                <w:rFonts w:cstheme="minorHAnsi"/>
                <w:sz w:val="22"/>
                <w:szCs w:val="22"/>
              </w:rPr>
              <w:t xml:space="preserve">Student Life </w:t>
            </w:r>
            <w:r w:rsidR="00E61E2C">
              <w:rPr>
                <w:rFonts w:cstheme="minorHAnsi"/>
                <w:sz w:val="22"/>
                <w:szCs w:val="22"/>
              </w:rPr>
              <w:t>&amp;</w:t>
            </w:r>
            <w:r w:rsidR="00902246">
              <w:rPr>
                <w:rFonts w:cstheme="minorHAnsi"/>
                <w:sz w:val="22"/>
                <w:szCs w:val="22"/>
              </w:rPr>
              <w:t xml:space="preserve"> Engagement.</w:t>
            </w:r>
            <w:r w:rsidRPr="00DE6D9A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DE6D9A" w:rsidRPr="00DE6D9A" w14:paraId="58654177" w14:textId="77777777" w:rsidTr="00902246">
        <w:trPr>
          <w:jc w:val="center"/>
        </w:trPr>
        <w:tc>
          <w:tcPr>
            <w:tcW w:w="4321" w:type="dxa"/>
          </w:tcPr>
          <w:p w14:paraId="38EEA04E" w14:textId="47BDB95E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E6D9A">
              <w:rPr>
                <w:rFonts w:cstheme="minorHAnsi"/>
                <w:b/>
                <w:bCs/>
                <w:sz w:val="22"/>
                <w:szCs w:val="22"/>
              </w:rPr>
              <w:t xml:space="preserve">January </w:t>
            </w:r>
            <w:r w:rsidR="00AF4BB8">
              <w:rPr>
                <w:rFonts w:cstheme="minorHAnsi"/>
                <w:b/>
                <w:bCs/>
                <w:sz w:val="22"/>
                <w:szCs w:val="22"/>
              </w:rPr>
              <w:t>16th</w:t>
            </w:r>
            <w:r w:rsidRPr="00DE6D9A">
              <w:rPr>
                <w:rFonts w:cstheme="minorHAnsi"/>
                <w:b/>
                <w:bCs/>
                <w:sz w:val="22"/>
                <w:szCs w:val="22"/>
              </w:rPr>
              <w:t xml:space="preserve"> thru February 2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2024</w:t>
            </w:r>
          </w:p>
        </w:tc>
        <w:tc>
          <w:tcPr>
            <w:tcW w:w="4309" w:type="dxa"/>
          </w:tcPr>
          <w:p w14:paraId="3588B3C4" w14:textId="456C8024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E6D9A">
              <w:rPr>
                <w:rFonts w:cstheme="minorHAnsi"/>
                <w:sz w:val="22"/>
                <w:szCs w:val="22"/>
              </w:rPr>
              <w:t xml:space="preserve"> Posting </w:t>
            </w:r>
            <w:r w:rsidR="00AF4BB8">
              <w:rPr>
                <w:rFonts w:cstheme="minorHAnsi"/>
                <w:sz w:val="22"/>
                <w:szCs w:val="22"/>
              </w:rPr>
              <w:t>timeframe</w:t>
            </w:r>
            <w:r w:rsidRPr="00DE6D9A">
              <w:rPr>
                <w:rFonts w:cstheme="minorHAnsi"/>
                <w:sz w:val="22"/>
                <w:szCs w:val="22"/>
              </w:rPr>
              <w:t xml:space="preserve"> for organizations to advertise interest meeting information.</w:t>
            </w:r>
          </w:p>
        </w:tc>
      </w:tr>
      <w:tr w:rsidR="00DE6D9A" w:rsidRPr="00DE6D9A" w14:paraId="35EB07AB" w14:textId="77777777" w:rsidTr="00902246">
        <w:trPr>
          <w:jc w:val="center"/>
        </w:trPr>
        <w:tc>
          <w:tcPr>
            <w:tcW w:w="4321" w:type="dxa"/>
          </w:tcPr>
          <w:p w14:paraId="3F8D5536" w14:textId="0AF3BC5F" w:rsidR="00DE6D9A" w:rsidRPr="00DE6D9A" w:rsidRDefault="00AF4BB8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January 22nd</w:t>
            </w:r>
            <w:r w:rsidR="00DE6D9A" w:rsidRPr="00DE6D9A">
              <w:rPr>
                <w:rFonts w:cstheme="minorHAnsi"/>
                <w:b/>
                <w:bCs/>
                <w:sz w:val="22"/>
                <w:szCs w:val="22"/>
              </w:rPr>
              <w:t xml:space="preserve"> thru February 11</w:t>
            </w:r>
            <w:r w:rsidR="00DE6D9A">
              <w:rPr>
                <w:rFonts w:cstheme="minorHAnsi"/>
                <w:b/>
                <w:bCs/>
                <w:sz w:val="22"/>
                <w:szCs w:val="22"/>
              </w:rPr>
              <w:t>, 2024</w:t>
            </w:r>
          </w:p>
        </w:tc>
        <w:tc>
          <w:tcPr>
            <w:tcW w:w="4309" w:type="dxa"/>
          </w:tcPr>
          <w:p w14:paraId="2C0AD06F" w14:textId="6085D696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E6D9A">
              <w:rPr>
                <w:rFonts w:cstheme="minorHAnsi"/>
                <w:sz w:val="22"/>
                <w:szCs w:val="22"/>
              </w:rPr>
              <w:t xml:space="preserve"> Designated interest meeting </w:t>
            </w:r>
            <w:r w:rsidR="00AF4BB8">
              <w:rPr>
                <w:rFonts w:cstheme="minorHAnsi"/>
                <w:sz w:val="22"/>
                <w:szCs w:val="22"/>
              </w:rPr>
              <w:t>timeframe</w:t>
            </w:r>
            <w:r w:rsidRPr="00DE6D9A">
              <w:rPr>
                <w:rFonts w:cstheme="minorHAnsi"/>
                <w:sz w:val="22"/>
                <w:szCs w:val="22"/>
              </w:rPr>
              <w:t xml:space="preserve">.  </w:t>
            </w:r>
          </w:p>
        </w:tc>
      </w:tr>
      <w:tr w:rsidR="00DE6D9A" w:rsidRPr="00DE6D9A" w14:paraId="3E007C41" w14:textId="77777777" w:rsidTr="00902246">
        <w:trPr>
          <w:jc w:val="center"/>
        </w:trPr>
        <w:tc>
          <w:tcPr>
            <w:tcW w:w="4321" w:type="dxa"/>
          </w:tcPr>
          <w:p w14:paraId="149200B1" w14:textId="3B60D90B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E6D9A">
              <w:rPr>
                <w:rFonts w:cstheme="minorHAnsi"/>
                <w:b/>
                <w:bCs/>
                <w:sz w:val="22"/>
                <w:szCs w:val="22"/>
              </w:rPr>
              <w:t>February 21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2024</w:t>
            </w:r>
          </w:p>
        </w:tc>
        <w:tc>
          <w:tcPr>
            <w:tcW w:w="4309" w:type="dxa"/>
          </w:tcPr>
          <w:p w14:paraId="40314A69" w14:textId="71677AC7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E6D9A">
              <w:rPr>
                <w:rFonts w:cstheme="minorHAnsi"/>
                <w:sz w:val="22"/>
                <w:szCs w:val="22"/>
              </w:rPr>
              <w:t xml:space="preserve">Deadline for organizations to submit list of </w:t>
            </w:r>
            <w:r w:rsidR="00902246">
              <w:rPr>
                <w:rFonts w:cstheme="minorHAnsi"/>
                <w:sz w:val="22"/>
                <w:szCs w:val="22"/>
              </w:rPr>
              <w:t>approved candidates</w:t>
            </w:r>
            <w:r w:rsidR="0054111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E6D9A" w:rsidRPr="00DE6D9A" w14:paraId="5A9E4F14" w14:textId="77777777" w:rsidTr="00902246">
        <w:trPr>
          <w:jc w:val="center"/>
        </w:trPr>
        <w:tc>
          <w:tcPr>
            <w:tcW w:w="4321" w:type="dxa"/>
          </w:tcPr>
          <w:p w14:paraId="33ABA8D9" w14:textId="030F0511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E6D9A">
              <w:rPr>
                <w:rFonts w:cstheme="minorHAnsi"/>
                <w:b/>
                <w:bCs/>
                <w:sz w:val="22"/>
                <w:szCs w:val="22"/>
              </w:rPr>
              <w:t>February 23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2024</w:t>
            </w:r>
          </w:p>
        </w:tc>
        <w:tc>
          <w:tcPr>
            <w:tcW w:w="4309" w:type="dxa"/>
          </w:tcPr>
          <w:p w14:paraId="5B796180" w14:textId="42AE2DBB" w:rsidR="00DE6D9A" w:rsidRPr="00DE6D9A" w:rsidRDefault="00902246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Deadline for Student Life </w:t>
            </w:r>
            <w:r w:rsidR="00E61E2C">
              <w:rPr>
                <w:rFonts w:cstheme="minorHAnsi"/>
                <w:sz w:val="22"/>
                <w:szCs w:val="22"/>
              </w:rPr>
              <w:t>&amp;</w:t>
            </w:r>
            <w:r>
              <w:rPr>
                <w:rFonts w:cstheme="minorHAnsi"/>
                <w:sz w:val="22"/>
                <w:szCs w:val="22"/>
              </w:rPr>
              <w:t xml:space="preserve"> Engagement to verify </w:t>
            </w:r>
            <w:r w:rsidR="00541115">
              <w:rPr>
                <w:rFonts w:cstheme="minorHAnsi"/>
                <w:sz w:val="22"/>
                <w:szCs w:val="22"/>
              </w:rPr>
              <w:t>candidate</w:t>
            </w:r>
            <w:r>
              <w:rPr>
                <w:rFonts w:cstheme="minorHAnsi"/>
                <w:sz w:val="22"/>
                <w:szCs w:val="22"/>
              </w:rPr>
              <w:t xml:space="preserve"> eligibility. </w:t>
            </w:r>
            <w:r w:rsidR="00DE6D9A" w:rsidRPr="00DE6D9A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E6D9A" w:rsidRPr="00DE6D9A" w14:paraId="28E648A9" w14:textId="77777777" w:rsidTr="00902246">
        <w:trPr>
          <w:jc w:val="center"/>
        </w:trPr>
        <w:tc>
          <w:tcPr>
            <w:tcW w:w="4321" w:type="dxa"/>
          </w:tcPr>
          <w:p w14:paraId="064C9B78" w14:textId="6ECB7134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E6D9A">
              <w:rPr>
                <w:rFonts w:cstheme="minorHAnsi"/>
                <w:b/>
                <w:bCs/>
                <w:sz w:val="22"/>
                <w:szCs w:val="22"/>
              </w:rPr>
              <w:t>February 26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2024</w:t>
            </w:r>
          </w:p>
        </w:tc>
        <w:tc>
          <w:tcPr>
            <w:tcW w:w="4309" w:type="dxa"/>
          </w:tcPr>
          <w:p w14:paraId="43F4FEF8" w14:textId="62D117A8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E6D9A">
              <w:rPr>
                <w:rFonts w:cstheme="minorHAnsi"/>
                <w:sz w:val="22"/>
                <w:szCs w:val="22"/>
              </w:rPr>
              <w:t xml:space="preserve">Membership intake activities </w:t>
            </w:r>
            <w:r w:rsidR="00902246">
              <w:rPr>
                <w:rFonts w:cstheme="minorHAnsi"/>
                <w:sz w:val="22"/>
                <w:szCs w:val="22"/>
              </w:rPr>
              <w:t>can</w:t>
            </w:r>
            <w:r w:rsidRPr="00DE6D9A">
              <w:rPr>
                <w:rFonts w:cstheme="minorHAnsi"/>
                <w:sz w:val="22"/>
                <w:szCs w:val="22"/>
              </w:rPr>
              <w:t xml:space="preserve"> begin.</w:t>
            </w:r>
            <w:r w:rsidRPr="00DE6D9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6D9A" w:rsidRPr="00DE6D9A" w14:paraId="785B11D1" w14:textId="77777777" w:rsidTr="00902246">
        <w:trPr>
          <w:jc w:val="center"/>
        </w:trPr>
        <w:tc>
          <w:tcPr>
            <w:tcW w:w="4321" w:type="dxa"/>
          </w:tcPr>
          <w:p w14:paraId="257E49B2" w14:textId="16CFC095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E6D9A">
              <w:rPr>
                <w:rFonts w:cstheme="minorHAnsi"/>
                <w:b/>
                <w:bCs/>
                <w:sz w:val="22"/>
                <w:szCs w:val="22"/>
              </w:rPr>
              <w:t>March 28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2024</w:t>
            </w:r>
          </w:p>
        </w:tc>
        <w:tc>
          <w:tcPr>
            <w:tcW w:w="4309" w:type="dxa"/>
          </w:tcPr>
          <w:p w14:paraId="78DE0462" w14:textId="0D7AC5FB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E6D9A">
              <w:rPr>
                <w:rFonts w:cstheme="minorHAnsi"/>
                <w:sz w:val="22"/>
                <w:szCs w:val="22"/>
              </w:rPr>
              <w:t xml:space="preserve">Membership intake </w:t>
            </w:r>
            <w:r>
              <w:rPr>
                <w:rFonts w:cstheme="minorHAnsi"/>
                <w:sz w:val="22"/>
                <w:szCs w:val="22"/>
              </w:rPr>
              <w:t>activities</w:t>
            </w:r>
            <w:r w:rsidRPr="00DE6D9A">
              <w:rPr>
                <w:rFonts w:cstheme="minorHAnsi"/>
                <w:sz w:val="22"/>
                <w:szCs w:val="22"/>
              </w:rPr>
              <w:t xml:space="preserve"> must be complete.</w:t>
            </w:r>
          </w:p>
        </w:tc>
      </w:tr>
      <w:tr w:rsidR="00DE6D9A" w:rsidRPr="00DE6D9A" w14:paraId="6575F7B8" w14:textId="77777777" w:rsidTr="00902246">
        <w:trPr>
          <w:jc w:val="center"/>
        </w:trPr>
        <w:tc>
          <w:tcPr>
            <w:tcW w:w="4321" w:type="dxa"/>
          </w:tcPr>
          <w:p w14:paraId="58C7869F" w14:textId="7AC5FA71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TBA</w:t>
            </w:r>
          </w:p>
        </w:tc>
        <w:tc>
          <w:tcPr>
            <w:tcW w:w="4309" w:type="dxa"/>
          </w:tcPr>
          <w:p w14:paraId="798459CD" w14:textId="57B49A48" w:rsidR="00DE6D9A" w:rsidRPr="00DE6D9A" w:rsidRDefault="00DE6D9A" w:rsidP="00DE6D9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Combined </w:t>
            </w:r>
            <w:r w:rsidRPr="00DE6D9A">
              <w:rPr>
                <w:rFonts w:cstheme="minorHAnsi"/>
                <w:sz w:val="22"/>
                <w:szCs w:val="22"/>
              </w:rPr>
              <w:t>Probate</w:t>
            </w:r>
            <w:r>
              <w:rPr>
                <w:rFonts w:cstheme="minorHAnsi"/>
                <w:sz w:val="22"/>
                <w:szCs w:val="22"/>
              </w:rPr>
              <w:t xml:space="preserve"> Show</w:t>
            </w:r>
          </w:p>
        </w:tc>
      </w:tr>
    </w:tbl>
    <w:p w14:paraId="719D2EDC" w14:textId="77777777" w:rsidR="00541115" w:rsidRPr="00DE6D9A" w:rsidRDefault="00541115" w:rsidP="00541115">
      <w:pPr>
        <w:pStyle w:val="xmsonormal"/>
        <w:shd w:val="clear" w:color="auto" w:fill="FFFFFF"/>
        <w:spacing w:before="0" w:beforeAutospacing="0" w:after="0" w:afterAutospacing="0"/>
        <w:ind w:left="405"/>
        <w:rPr>
          <w:rFonts w:asciiTheme="minorHAnsi" w:hAnsiTheme="minorHAnsi" w:cstheme="minorHAnsi"/>
          <w:color w:val="242424"/>
          <w:sz w:val="22"/>
          <w:szCs w:val="22"/>
        </w:rPr>
      </w:pPr>
    </w:p>
    <w:p w14:paraId="195AC5C1" w14:textId="0E31DFF3" w:rsidR="00585031" w:rsidRDefault="00585031" w:rsidP="0058503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Any organization conducting membership intake activities must receive official authorization from the Office of </w:t>
      </w:r>
      <w:r w:rsidR="00DE6D9A">
        <w:rPr>
          <w:rFonts w:asciiTheme="minorHAnsi" w:hAnsiTheme="minorHAnsi" w:cstheme="minorHAnsi"/>
          <w:color w:val="000000"/>
          <w:sz w:val="22"/>
          <w:szCs w:val="22"/>
        </w:rPr>
        <w:t xml:space="preserve">Student Life </w:t>
      </w:r>
      <w:r w:rsidR="00E61E2C">
        <w:rPr>
          <w:rFonts w:asciiTheme="minorHAnsi" w:hAnsiTheme="minorHAnsi" w:cstheme="minorHAnsi"/>
          <w:color w:val="000000"/>
          <w:sz w:val="22"/>
          <w:szCs w:val="22"/>
        </w:rPr>
        <w:t>&amp;</w:t>
      </w:r>
      <w:r w:rsidR="00DE6D9A">
        <w:rPr>
          <w:rFonts w:asciiTheme="minorHAnsi" w:hAnsiTheme="minorHAnsi" w:cstheme="minorHAnsi"/>
          <w:color w:val="000000"/>
          <w:sz w:val="22"/>
          <w:szCs w:val="22"/>
        </w:rPr>
        <w:t xml:space="preserve"> Engagement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before membership intake activities commence. Please note, all students and organizations must follow University regulations. Failure to follow University regulations could result in violations that could potentially impact the student</w:t>
      </w:r>
      <w:r w:rsidR="00DE6D9A"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and the organization.</w:t>
      </w:r>
    </w:p>
    <w:p w14:paraId="2172F740" w14:textId="77777777" w:rsidR="00E61E2C" w:rsidRPr="00DE6D9A" w:rsidRDefault="00E61E2C" w:rsidP="0058503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6136E2" w14:textId="77777777" w:rsidR="00585031" w:rsidRPr="00DE6D9A" w:rsidRDefault="00585031" w:rsidP="00585031">
      <w:pPr>
        <w:pStyle w:val="Heading2"/>
        <w:shd w:val="clear" w:color="auto" w:fill="FFFFFF"/>
        <w:spacing w:before="0" w:after="168"/>
        <w:rPr>
          <w:rFonts w:asciiTheme="minorHAnsi" w:hAnsiTheme="minorHAnsi" w:cstheme="minorHAnsi"/>
          <w:color w:val="333333"/>
          <w:sz w:val="22"/>
          <w:szCs w:val="22"/>
        </w:rPr>
      </w:pPr>
      <w:bookmarkStart w:id="0" w:name="Expectations"/>
      <w:bookmarkEnd w:id="0"/>
      <w:r w:rsidRPr="00DE6D9A">
        <w:rPr>
          <w:rStyle w:val="Strong"/>
          <w:rFonts w:asciiTheme="minorHAnsi" w:hAnsiTheme="minorHAnsi" w:cstheme="minorHAnsi"/>
          <w:color w:val="333333"/>
          <w:sz w:val="22"/>
          <w:szCs w:val="22"/>
        </w:rPr>
        <w:lastRenderedPageBreak/>
        <w:t>EXPECTATIONS OF ORGANIZATIONS CONDUCTING INTAKE:</w:t>
      </w:r>
    </w:p>
    <w:p w14:paraId="4B3F986C" w14:textId="77777777" w:rsidR="00B35CEC" w:rsidRPr="00DE6D9A" w:rsidRDefault="00585031" w:rsidP="00B35C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B35CEC" w:rsidRPr="00DE6D9A">
        <w:rPr>
          <w:rFonts w:asciiTheme="minorHAnsi" w:hAnsiTheme="minorHAnsi" w:cstheme="minorHAnsi"/>
          <w:color w:val="000000"/>
          <w:sz w:val="22"/>
          <w:szCs w:val="22"/>
        </w:rPr>
        <w:t>institution’s academic mission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will be upheld and promoted to new members.</w:t>
      </w:r>
    </w:p>
    <w:p w14:paraId="6D5A0BFB" w14:textId="77777777" w:rsidR="00B35CEC" w:rsidRPr="00DE6D9A" w:rsidRDefault="00585031" w:rsidP="00B35C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>The membership activities will not interfere with academic endeavors or class schedules.</w:t>
      </w:r>
    </w:p>
    <w:p w14:paraId="05072AD9" w14:textId="77777777" w:rsidR="00B35CEC" w:rsidRPr="00DE6D9A" w:rsidRDefault="00B35CEC" w:rsidP="00B35C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031" w:rsidRPr="00DE6D9A">
        <w:rPr>
          <w:rFonts w:asciiTheme="minorHAnsi" w:hAnsiTheme="minorHAnsi" w:cstheme="minorHAnsi"/>
          <w:color w:val="000000"/>
          <w:sz w:val="22"/>
          <w:szCs w:val="22"/>
        </w:rPr>
        <w:t>The selection of new members will be free of any form of mental and/or physical abuse and hazing.</w:t>
      </w:r>
    </w:p>
    <w:p w14:paraId="1C1B8CA8" w14:textId="77777777" w:rsidR="00B35CEC" w:rsidRPr="00DE6D9A" w:rsidRDefault="00585031" w:rsidP="00B35C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Chapters will not engage in </w:t>
      </w:r>
      <w:r w:rsidR="006516E1" w:rsidRPr="00DE6D9A">
        <w:rPr>
          <w:rFonts w:asciiTheme="minorHAnsi" w:hAnsiTheme="minorHAnsi" w:cstheme="minorHAnsi"/>
          <w:color w:val="000000"/>
          <w:sz w:val="22"/>
          <w:szCs w:val="22"/>
        </w:rPr>
        <w:t>any</w:t>
      </w:r>
      <w:r w:rsidR="006516E1" w:rsidRPr="00DE6D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E6D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hazing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activities.</w:t>
      </w:r>
    </w:p>
    <w:p w14:paraId="705CC2F1" w14:textId="4B283051" w:rsidR="00B35CEC" w:rsidRPr="00DE6D9A" w:rsidRDefault="00585031" w:rsidP="00B35C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Chapter advisors will be present at all </w:t>
      </w:r>
      <w:r w:rsidR="00B35CEC" w:rsidRPr="00DE6D9A">
        <w:rPr>
          <w:rFonts w:asciiTheme="minorHAnsi" w:hAnsiTheme="minorHAnsi" w:cstheme="minorHAnsi"/>
          <w:color w:val="000000"/>
          <w:sz w:val="22"/>
          <w:szCs w:val="22"/>
        </w:rPr>
        <w:t>membership-related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activities.</w:t>
      </w:r>
    </w:p>
    <w:p w14:paraId="7F36885D" w14:textId="77777777" w:rsidR="00B35CEC" w:rsidRPr="00DE6D9A" w:rsidRDefault="00585031" w:rsidP="00B35C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>Chapters must complete all required paperwork in a timely fashion.</w:t>
      </w:r>
    </w:p>
    <w:p w14:paraId="6FEE8C60" w14:textId="22AD454B" w:rsidR="00710172" w:rsidRPr="00DE6D9A" w:rsidRDefault="00B35CEC" w:rsidP="00D97B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="00585031"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membership activity includes the presence or consumption of alcohol.</w:t>
      </w:r>
      <w:bookmarkStart w:id="1" w:name="MIP"/>
      <w:bookmarkEnd w:id="1"/>
    </w:p>
    <w:p w14:paraId="5FC6ED3F" w14:textId="3842A632" w:rsidR="00585031" w:rsidRPr="00DE6D9A" w:rsidRDefault="00585031" w:rsidP="00585031">
      <w:pPr>
        <w:pStyle w:val="Heading2"/>
        <w:shd w:val="clear" w:color="auto" w:fill="FFFFFF"/>
        <w:spacing w:before="0" w:after="168"/>
        <w:rPr>
          <w:rFonts w:asciiTheme="minorHAnsi" w:hAnsiTheme="minorHAnsi" w:cstheme="minorHAnsi"/>
          <w:color w:val="333333"/>
          <w:sz w:val="22"/>
          <w:szCs w:val="22"/>
        </w:rPr>
      </w:pPr>
      <w:r w:rsidRPr="00DE6D9A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MIP GENERAL ELIGIBILITY CRITERIA FOR PROSPECTIVE </w:t>
      </w:r>
      <w:r w:rsidR="00B35CEC" w:rsidRPr="00DE6D9A">
        <w:rPr>
          <w:rStyle w:val="Strong"/>
          <w:rFonts w:asciiTheme="minorHAnsi" w:hAnsiTheme="minorHAnsi" w:cstheme="minorHAnsi"/>
          <w:color w:val="333333"/>
          <w:sz w:val="22"/>
          <w:szCs w:val="22"/>
        </w:rPr>
        <w:t>MEMBERS</w:t>
      </w:r>
      <w:r w:rsidRPr="00DE6D9A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</w:p>
    <w:p w14:paraId="05424ECA" w14:textId="5BD5445E" w:rsidR="006A1800" w:rsidRPr="00DE6D9A" w:rsidRDefault="00585031" w:rsidP="006A180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>Earned at least </w:t>
      </w:r>
      <w:r w:rsidRPr="00DE6D9A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30 credit hours at </w:t>
      </w:r>
      <w:r w:rsidR="006516E1" w:rsidRPr="00DE6D9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Texas Southern University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. Transfer students must have earned 12 credit hours of the 30 hours required from </w:t>
      </w:r>
      <w:r w:rsidR="006516E1" w:rsidRPr="00DE6D9A">
        <w:rPr>
          <w:rFonts w:asciiTheme="minorHAnsi" w:hAnsiTheme="minorHAnsi" w:cstheme="minorHAnsi"/>
          <w:color w:val="000000"/>
          <w:sz w:val="22"/>
          <w:szCs w:val="22"/>
        </w:rPr>
        <w:t>TSU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C5B31"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0B0F4DA" w14:textId="47BBA8AA" w:rsidR="00B35CEC" w:rsidRPr="00DE6D9A" w:rsidRDefault="00BC5B31" w:rsidP="00CB410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TSU</w:t>
      </w:r>
      <w:r w:rsidR="00585031" w:rsidRPr="00DE6D9A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GPA</w:t>
      </w:r>
      <w:r w:rsidRPr="00DE6D9A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Requirement &amp; Meet Organizational GPA Requirement </w:t>
      </w:r>
    </w:p>
    <w:p w14:paraId="386C69A3" w14:textId="77777777" w:rsidR="00B35CEC" w:rsidRPr="00DE6D9A" w:rsidRDefault="00585031" w:rsidP="00CB410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>A </w:t>
      </w:r>
      <w:r w:rsidRPr="00DE6D9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full-time student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> (12 or more credit hour load), currently enrolled.</w:t>
      </w:r>
    </w:p>
    <w:p w14:paraId="00FF16FA" w14:textId="77777777" w:rsidR="00B35CEC" w:rsidRPr="00DE6D9A" w:rsidRDefault="00B35CEC" w:rsidP="00CB410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031" w:rsidRPr="00DE6D9A">
        <w:rPr>
          <w:rFonts w:asciiTheme="minorHAnsi" w:hAnsiTheme="minorHAnsi" w:cstheme="minorHAnsi"/>
          <w:color w:val="000000"/>
          <w:sz w:val="22"/>
          <w:szCs w:val="22"/>
        </w:rPr>
        <w:t>Does </w:t>
      </w:r>
      <w:r w:rsidR="00585031" w:rsidRPr="00DE6D9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NOT</w:t>
      </w:r>
      <w:r w:rsidR="00585031" w:rsidRPr="00DE6D9A">
        <w:rPr>
          <w:rFonts w:asciiTheme="minorHAnsi" w:hAnsiTheme="minorHAnsi" w:cstheme="minorHAnsi"/>
          <w:color w:val="000000"/>
          <w:sz w:val="22"/>
          <w:szCs w:val="22"/>
        </w:rPr>
        <w:t> have any open student conduct cases.</w:t>
      </w:r>
    </w:p>
    <w:p w14:paraId="6D887794" w14:textId="4C945720" w:rsidR="00585031" w:rsidRPr="00CB410D" w:rsidRDefault="00585031" w:rsidP="00CB410D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/>
          <w:sz w:val="22"/>
          <w:szCs w:val="22"/>
        </w:rPr>
      </w:pPr>
      <w:r w:rsidRPr="00E61E2C">
        <w:rPr>
          <w:rFonts w:cstheme="minorHAnsi"/>
          <w:color w:val="000000"/>
          <w:sz w:val="22"/>
          <w:szCs w:val="22"/>
        </w:rPr>
        <w:t>Complete one</w:t>
      </w:r>
      <w:r w:rsidRPr="00CB410D">
        <w:rPr>
          <w:rFonts w:cstheme="minorHAnsi"/>
          <w:color w:val="000000"/>
          <w:sz w:val="22"/>
          <w:szCs w:val="22"/>
        </w:rPr>
        <w:t> </w:t>
      </w:r>
      <w:r w:rsidRPr="00CB410D">
        <w:rPr>
          <w:rStyle w:val="Strong"/>
          <w:rFonts w:cstheme="minorHAnsi"/>
          <w:color w:val="000000"/>
          <w:sz w:val="22"/>
          <w:szCs w:val="22"/>
        </w:rPr>
        <w:t xml:space="preserve">(1) </w:t>
      </w:r>
      <w:r w:rsidR="006516E1" w:rsidRPr="00CB410D">
        <w:rPr>
          <w:rStyle w:val="Strong"/>
          <w:rFonts w:cstheme="minorHAnsi"/>
          <w:color w:val="000000"/>
          <w:sz w:val="22"/>
          <w:szCs w:val="22"/>
        </w:rPr>
        <w:t>Anti Hazing</w:t>
      </w:r>
      <w:r w:rsidRPr="00CB410D">
        <w:rPr>
          <w:rStyle w:val="Strong"/>
          <w:rFonts w:cstheme="minorHAnsi"/>
          <w:color w:val="000000"/>
          <w:sz w:val="22"/>
          <w:szCs w:val="22"/>
        </w:rPr>
        <w:t xml:space="preserve"> Course</w:t>
      </w:r>
      <w:r w:rsidRPr="00CB410D">
        <w:rPr>
          <w:rFonts w:cstheme="minorHAnsi"/>
          <w:color w:val="000000"/>
          <w:sz w:val="22"/>
          <w:szCs w:val="22"/>
        </w:rPr>
        <w:t> </w:t>
      </w:r>
      <w:r w:rsidR="007D734C" w:rsidRPr="00CB410D">
        <w:rPr>
          <w:rFonts w:cstheme="minorHAnsi"/>
          <w:color w:val="000000"/>
          <w:sz w:val="22"/>
          <w:szCs w:val="22"/>
        </w:rPr>
        <w:t xml:space="preserve">Link </w:t>
      </w:r>
      <w:r w:rsidRPr="00CB410D">
        <w:rPr>
          <w:rFonts w:cstheme="minorHAnsi"/>
          <w:color w:val="000000"/>
          <w:sz w:val="22"/>
          <w:szCs w:val="22"/>
        </w:rPr>
        <w:t>(</w:t>
      </w:r>
      <w:hyperlink r:id="rId9" w:tgtFrame="_blank" w:history="1">
        <w:r w:rsidR="007D734C" w:rsidRPr="00CB410D">
          <w:rPr>
            <w:rFonts w:cstheme="minorHAnsi"/>
            <w:color w:val="0000FF"/>
            <w:kern w:val="2"/>
            <w:sz w:val="22"/>
            <w:szCs w:val="22"/>
            <w:u w:val="single"/>
            <w:bdr w:val="none" w:sz="0" w:space="0" w:color="auto" w:frame="1"/>
            <w:shd w:val="clear" w:color="auto" w:fill="FFFFFF"/>
            <w14:ligatures w14:val="standardContextual"/>
          </w:rPr>
          <w:t>https://learn.ue.org/OU15W091588/TSUHazing</w:t>
        </w:r>
      </w:hyperlink>
      <w:r w:rsidRPr="00CB410D">
        <w:rPr>
          <w:rFonts w:cstheme="minorHAnsi"/>
          <w:color w:val="000000"/>
          <w:sz w:val="22"/>
          <w:szCs w:val="22"/>
        </w:rPr>
        <w:t>).</w:t>
      </w:r>
      <w:r w:rsidR="006516E1" w:rsidRPr="00CB410D">
        <w:rPr>
          <w:rFonts w:cstheme="minorHAnsi"/>
          <w:color w:val="000000"/>
          <w:sz w:val="22"/>
          <w:szCs w:val="22"/>
        </w:rPr>
        <w:t xml:space="preserve"> </w:t>
      </w:r>
    </w:p>
    <w:p w14:paraId="05908402" w14:textId="77777777" w:rsidR="007D734C" w:rsidRPr="00DE6D9A" w:rsidRDefault="007D734C" w:rsidP="007D734C">
      <w:pPr>
        <w:rPr>
          <w:rFonts w:cstheme="minorHAnsi"/>
          <w:kern w:val="2"/>
          <w:sz w:val="22"/>
          <w:szCs w:val="22"/>
          <w14:ligatures w14:val="standardContextual"/>
        </w:rPr>
      </w:pPr>
    </w:p>
    <w:p w14:paraId="276065F9" w14:textId="7F1ECE42" w:rsidR="00585031" w:rsidRPr="00DE6D9A" w:rsidRDefault="00585031" w:rsidP="00585031">
      <w:pPr>
        <w:pStyle w:val="Heading2"/>
        <w:shd w:val="clear" w:color="auto" w:fill="FFFFFF"/>
        <w:spacing w:before="0" w:after="168"/>
        <w:rPr>
          <w:rFonts w:asciiTheme="minorHAnsi" w:hAnsiTheme="minorHAnsi" w:cstheme="minorHAnsi"/>
          <w:color w:val="333333"/>
          <w:sz w:val="22"/>
          <w:szCs w:val="22"/>
        </w:rPr>
      </w:pPr>
      <w:bookmarkStart w:id="2" w:name="General"/>
      <w:bookmarkEnd w:id="2"/>
      <w:r w:rsidRPr="00DE6D9A">
        <w:rPr>
          <w:rStyle w:val="Strong"/>
          <w:rFonts w:asciiTheme="minorHAnsi" w:hAnsiTheme="minorHAnsi" w:cstheme="minorHAnsi"/>
          <w:color w:val="333333"/>
          <w:sz w:val="22"/>
          <w:szCs w:val="22"/>
        </w:rPr>
        <w:t>NPHC GENERAL MEMBER INFORMATION:</w:t>
      </w:r>
    </w:p>
    <w:p w14:paraId="110C05F1" w14:textId="22C4BDAE" w:rsidR="00B35CEC" w:rsidRPr="00DE6D9A" w:rsidRDefault="00585031" w:rsidP="00B35C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>Maintain a 2.500 cumulative GPA</w:t>
      </w:r>
      <w:r w:rsidR="00CB41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F424A5" w14:textId="70AD74A1" w:rsidR="00B35CEC" w:rsidRPr="00DE6D9A" w:rsidRDefault="00585031" w:rsidP="00B35C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>A full-time, currently enrolled student</w:t>
      </w:r>
      <w:r w:rsidR="00CB41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34C904" w14:textId="6E8CD5D4" w:rsidR="00585031" w:rsidRPr="00DE6D9A" w:rsidRDefault="00585031" w:rsidP="00B35C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Be in good standing with the </w:t>
      </w:r>
      <w:r w:rsidR="006516E1" w:rsidRPr="00DE6D9A">
        <w:rPr>
          <w:rFonts w:asciiTheme="minorHAnsi" w:hAnsiTheme="minorHAnsi" w:cstheme="minorHAnsi"/>
          <w:color w:val="000000"/>
          <w:sz w:val="22"/>
          <w:szCs w:val="22"/>
        </w:rPr>
        <w:t>TSU.</w:t>
      </w:r>
    </w:p>
    <w:p w14:paraId="49DF0CFB" w14:textId="63EBBAB6" w:rsidR="00585031" w:rsidRPr="00DE6D9A" w:rsidRDefault="00585031" w:rsidP="00585031">
      <w:pPr>
        <w:pStyle w:val="Heading2"/>
        <w:shd w:val="clear" w:color="auto" w:fill="FFFFFF"/>
        <w:spacing w:before="0" w:after="168"/>
        <w:rPr>
          <w:rFonts w:asciiTheme="minorHAnsi" w:hAnsiTheme="minorHAnsi" w:cstheme="minorHAnsi"/>
          <w:color w:val="333333"/>
          <w:sz w:val="22"/>
          <w:szCs w:val="22"/>
        </w:rPr>
      </w:pPr>
      <w:bookmarkStart w:id="3" w:name="GLP"/>
      <w:bookmarkStart w:id="4" w:name="Probate"/>
      <w:bookmarkEnd w:id="3"/>
      <w:bookmarkEnd w:id="4"/>
      <w:r w:rsidRPr="00DE6D9A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NEW </w:t>
      </w:r>
      <w:r w:rsidR="00B35CEC" w:rsidRPr="00DE6D9A">
        <w:rPr>
          <w:rStyle w:val="Strong"/>
          <w:rFonts w:asciiTheme="minorHAnsi" w:hAnsiTheme="minorHAnsi" w:cstheme="minorHAnsi"/>
          <w:color w:val="333333"/>
          <w:sz w:val="22"/>
          <w:szCs w:val="22"/>
        </w:rPr>
        <w:t>MEMBERS</w:t>
      </w:r>
      <w:r w:rsidRPr="00DE6D9A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41115">
        <w:rPr>
          <w:rStyle w:val="Strong"/>
          <w:rFonts w:asciiTheme="minorHAnsi" w:hAnsiTheme="minorHAnsi" w:cstheme="minorHAnsi"/>
          <w:color w:val="333333"/>
          <w:sz w:val="22"/>
          <w:szCs w:val="22"/>
        </w:rPr>
        <w:t>PROBATE SHOW:</w:t>
      </w:r>
    </w:p>
    <w:p w14:paraId="0D01CD68" w14:textId="2DBA03CC" w:rsidR="00585031" w:rsidRPr="00DE6D9A" w:rsidRDefault="00585031" w:rsidP="0058503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The New Members </w:t>
      </w:r>
      <w:r w:rsidR="00D31388" w:rsidRPr="00DE6D9A">
        <w:rPr>
          <w:rFonts w:asciiTheme="minorHAnsi" w:hAnsiTheme="minorHAnsi" w:cstheme="minorHAnsi"/>
          <w:color w:val="000000"/>
          <w:sz w:val="22"/>
          <w:szCs w:val="22"/>
        </w:rPr>
        <w:t>Probate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Show marks the official end of the membership intake process by showcasing new </w:t>
      </w:r>
      <w:r w:rsidR="00B35CEC" w:rsidRPr="00DE6D9A">
        <w:rPr>
          <w:rFonts w:asciiTheme="minorHAnsi" w:hAnsiTheme="minorHAnsi" w:cstheme="minorHAnsi"/>
          <w:color w:val="000000"/>
          <w:sz w:val="22"/>
          <w:szCs w:val="22"/>
        </w:rPr>
        <w:t>members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to the campus </w:t>
      </w:r>
      <w:r w:rsidR="006516E1"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community. </w:t>
      </w:r>
      <w:r w:rsidR="00B35CEC" w:rsidRPr="00DE6D9A">
        <w:rPr>
          <w:rFonts w:asciiTheme="minorHAnsi" w:hAnsiTheme="minorHAnsi" w:cstheme="minorHAnsi"/>
          <w:color w:val="000000"/>
          <w:sz w:val="22"/>
          <w:szCs w:val="22"/>
        </w:rPr>
        <w:t>The date</w:t>
      </w:r>
      <w:r w:rsidR="006516E1"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will be set by the Office of Student </w:t>
      </w:r>
      <w:r w:rsidR="00364287"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Life </w:t>
      </w:r>
      <w:r w:rsidR="00E61E2C">
        <w:rPr>
          <w:rFonts w:asciiTheme="minorHAnsi" w:hAnsiTheme="minorHAnsi" w:cstheme="minorHAnsi"/>
          <w:color w:val="000000"/>
          <w:sz w:val="22"/>
          <w:szCs w:val="22"/>
        </w:rPr>
        <w:t>&amp;</w:t>
      </w:r>
      <w:r w:rsidR="00364287"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Engagement</w:t>
      </w:r>
      <w:r w:rsidR="006516E1"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9957105" w14:textId="77777777" w:rsidR="006340E8" w:rsidRPr="00B35CEC" w:rsidRDefault="006340E8" w:rsidP="0058503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14:paraId="0F5FF432" w14:textId="77777777" w:rsidR="00585031" w:rsidRPr="00B35CEC" w:rsidRDefault="00585031">
      <w:pPr>
        <w:rPr>
          <w:rFonts w:ascii="Arial" w:hAnsi="Arial" w:cs="Arial"/>
        </w:rPr>
      </w:pPr>
      <w:bookmarkStart w:id="5" w:name="Retreat"/>
      <w:bookmarkStart w:id="6" w:name="Service"/>
      <w:bookmarkEnd w:id="5"/>
      <w:bookmarkEnd w:id="6"/>
    </w:p>
    <w:sectPr w:rsidR="00585031" w:rsidRPr="00B3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F241" w14:textId="77777777" w:rsidR="00A236B8" w:rsidRDefault="00A236B8" w:rsidP="00857CEC">
      <w:r>
        <w:separator/>
      </w:r>
    </w:p>
  </w:endnote>
  <w:endnote w:type="continuationSeparator" w:id="0">
    <w:p w14:paraId="4376D58F" w14:textId="77777777" w:rsidR="00A236B8" w:rsidRDefault="00A236B8" w:rsidP="0085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62FB" w14:textId="77777777" w:rsidR="00A236B8" w:rsidRDefault="00A236B8" w:rsidP="00857CEC">
      <w:r>
        <w:separator/>
      </w:r>
    </w:p>
  </w:footnote>
  <w:footnote w:type="continuationSeparator" w:id="0">
    <w:p w14:paraId="5EE386A5" w14:textId="77777777" w:rsidR="00A236B8" w:rsidRDefault="00A236B8" w:rsidP="0085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237"/>
    <w:multiLevelType w:val="hybridMultilevel"/>
    <w:tmpl w:val="32C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F9B"/>
    <w:multiLevelType w:val="hybridMultilevel"/>
    <w:tmpl w:val="E2C8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F76A0"/>
    <w:multiLevelType w:val="hybridMultilevel"/>
    <w:tmpl w:val="3700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3A53"/>
    <w:multiLevelType w:val="hybridMultilevel"/>
    <w:tmpl w:val="7E309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A7005"/>
    <w:multiLevelType w:val="hybridMultilevel"/>
    <w:tmpl w:val="E532769E"/>
    <w:lvl w:ilvl="0" w:tplc="125CD3E0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A5318E"/>
    <w:multiLevelType w:val="hybridMultilevel"/>
    <w:tmpl w:val="5DAC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7DD5"/>
    <w:multiLevelType w:val="hybridMultilevel"/>
    <w:tmpl w:val="711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2E10"/>
    <w:multiLevelType w:val="hybridMultilevel"/>
    <w:tmpl w:val="2F86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E18C7"/>
    <w:multiLevelType w:val="hybridMultilevel"/>
    <w:tmpl w:val="6F60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2320D"/>
    <w:multiLevelType w:val="hybridMultilevel"/>
    <w:tmpl w:val="9704152A"/>
    <w:lvl w:ilvl="0" w:tplc="B53C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C3D3D"/>
    <w:multiLevelType w:val="hybridMultilevel"/>
    <w:tmpl w:val="2EF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65791">
    <w:abstractNumId w:val="0"/>
  </w:num>
  <w:num w:numId="2" w16cid:durableId="834806945">
    <w:abstractNumId w:val="5"/>
  </w:num>
  <w:num w:numId="3" w16cid:durableId="883294397">
    <w:abstractNumId w:val="6"/>
  </w:num>
  <w:num w:numId="4" w16cid:durableId="651059054">
    <w:abstractNumId w:val="2"/>
  </w:num>
  <w:num w:numId="5" w16cid:durableId="1775402400">
    <w:abstractNumId w:val="8"/>
  </w:num>
  <w:num w:numId="6" w16cid:durableId="1907639815">
    <w:abstractNumId w:val="7"/>
  </w:num>
  <w:num w:numId="7" w16cid:durableId="1322275375">
    <w:abstractNumId w:val="9"/>
  </w:num>
  <w:num w:numId="8" w16cid:durableId="1253130205">
    <w:abstractNumId w:val="1"/>
  </w:num>
  <w:num w:numId="9" w16cid:durableId="1429502657">
    <w:abstractNumId w:val="3"/>
  </w:num>
  <w:num w:numId="10" w16cid:durableId="1699623531">
    <w:abstractNumId w:val="10"/>
  </w:num>
  <w:num w:numId="11" w16cid:durableId="1501575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AF"/>
    <w:rsid w:val="00030D76"/>
    <w:rsid w:val="000766C0"/>
    <w:rsid w:val="000B6C12"/>
    <w:rsid w:val="000E6CC7"/>
    <w:rsid w:val="000F10CC"/>
    <w:rsid w:val="000F1751"/>
    <w:rsid w:val="00103F8E"/>
    <w:rsid w:val="00117DB1"/>
    <w:rsid w:val="001C3D35"/>
    <w:rsid w:val="001E0EDA"/>
    <w:rsid w:val="001E3CC4"/>
    <w:rsid w:val="001F24DE"/>
    <w:rsid w:val="00205B94"/>
    <w:rsid w:val="002369CA"/>
    <w:rsid w:val="0024437E"/>
    <w:rsid w:val="00287054"/>
    <w:rsid w:val="002C2C7F"/>
    <w:rsid w:val="00332998"/>
    <w:rsid w:val="00364287"/>
    <w:rsid w:val="003B0EA0"/>
    <w:rsid w:val="00413A50"/>
    <w:rsid w:val="004D77A9"/>
    <w:rsid w:val="004E4B8F"/>
    <w:rsid w:val="00511D81"/>
    <w:rsid w:val="00541115"/>
    <w:rsid w:val="005802EF"/>
    <w:rsid w:val="00585031"/>
    <w:rsid w:val="005C17A4"/>
    <w:rsid w:val="00615BDC"/>
    <w:rsid w:val="006340E8"/>
    <w:rsid w:val="0064291C"/>
    <w:rsid w:val="006516E1"/>
    <w:rsid w:val="006519D6"/>
    <w:rsid w:val="00666218"/>
    <w:rsid w:val="006A1800"/>
    <w:rsid w:val="00710172"/>
    <w:rsid w:val="007323D7"/>
    <w:rsid w:val="00764C09"/>
    <w:rsid w:val="00780BC3"/>
    <w:rsid w:val="0079752F"/>
    <w:rsid w:val="007C668C"/>
    <w:rsid w:val="007D734C"/>
    <w:rsid w:val="00857CEC"/>
    <w:rsid w:val="00885C6C"/>
    <w:rsid w:val="00886663"/>
    <w:rsid w:val="00902246"/>
    <w:rsid w:val="009117F0"/>
    <w:rsid w:val="00926B53"/>
    <w:rsid w:val="0096329A"/>
    <w:rsid w:val="009775AF"/>
    <w:rsid w:val="009E2F86"/>
    <w:rsid w:val="00A03E00"/>
    <w:rsid w:val="00A236B8"/>
    <w:rsid w:val="00A2514F"/>
    <w:rsid w:val="00A27689"/>
    <w:rsid w:val="00A63D50"/>
    <w:rsid w:val="00AF4BB8"/>
    <w:rsid w:val="00B060FF"/>
    <w:rsid w:val="00B270AB"/>
    <w:rsid w:val="00B35CEC"/>
    <w:rsid w:val="00BC5B31"/>
    <w:rsid w:val="00BC5E21"/>
    <w:rsid w:val="00C62CD6"/>
    <w:rsid w:val="00C635D0"/>
    <w:rsid w:val="00C73B73"/>
    <w:rsid w:val="00C97D31"/>
    <w:rsid w:val="00CB410D"/>
    <w:rsid w:val="00D24D9A"/>
    <w:rsid w:val="00D31388"/>
    <w:rsid w:val="00D40ECC"/>
    <w:rsid w:val="00D70110"/>
    <w:rsid w:val="00D86F23"/>
    <w:rsid w:val="00D97BBD"/>
    <w:rsid w:val="00DA3EC5"/>
    <w:rsid w:val="00DD3D03"/>
    <w:rsid w:val="00DE59CB"/>
    <w:rsid w:val="00DE6D9A"/>
    <w:rsid w:val="00E13FDA"/>
    <w:rsid w:val="00E61E2C"/>
    <w:rsid w:val="00E654BD"/>
    <w:rsid w:val="00EC010F"/>
    <w:rsid w:val="00F06EE6"/>
    <w:rsid w:val="00F4129B"/>
    <w:rsid w:val="00F811C8"/>
    <w:rsid w:val="00F92916"/>
    <w:rsid w:val="00FA2912"/>
    <w:rsid w:val="00FC7A81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1245"/>
  <w15:chartTrackingRefBased/>
  <w15:docId w15:val="{AB39D6AF-8E6C-BE49-B459-4B12A1D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5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77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57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CEC"/>
  </w:style>
  <w:style w:type="paragraph" w:styleId="Footer">
    <w:name w:val="footer"/>
    <w:basedOn w:val="Normal"/>
    <w:link w:val="FooterChar"/>
    <w:uiPriority w:val="99"/>
    <w:unhideWhenUsed/>
    <w:rsid w:val="00857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EC"/>
  </w:style>
  <w:style w:type="character" w:styleId="Hyperlink">
    <w:name w:val="Hyperlink"/>
    <w:basedOn w:val="DefaultParagraphFont"/>
    <w:uiPriority w:val="99"/>
    <w:unhideWhenUsed/>
    <w:rsid w:val="00C63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5D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412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12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0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5BDC"/>
    <w:pPr>
      <w:ind w:left="720"/>
      <w:contextualSpacing/>
    </w:pPr>
  </w:style>
  <w:style w:type="table" w:styleId="TableGrid">
    <w:name w:val="Table Grid"/>
    <w:basedOn w:val="TableNormal"/>
    <w:uiPriority w:val="39"/>
    <w:rsid w:val="00DE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.ue.org/OU15W091588/TSUHaz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A98FCD-EEA1-2C4E-9337-4E3DF9B3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Weber, Brandi</cp:lastModifiedBy>
  <cp:revision>12</cp:revision>
  <dcterms:created xsi:type="dcterms:W3CDTF">2023-12-05T18:48:00Z</dcterms:created>
  <dcterms:modified xsi:type="dcterms:W3CDTF">2024-01-03T20:40:00Z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b3ae4ae13eb1d00a5216d49835bd48918f7c3684e847e96c40559d240d59b7a1</vt:lpwstr>
  </property>
</Properties>
</file>